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FF863" w14:textId="7D68F216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b/>
          <w:sz w:val="24"/>
          <w:szCs w:val="24"/>
          <w:lang w:eastAsia="en-US"/>
        </w:rPr>
      </w:pPr>
      <w:bookmarkStart w:id="0" w:name="_GoBack"/>
      <w:r w:rsidRPr="00ED6E1A">
        <w:rPr>
          <w:rFonts w:ascii="Futura Std Book" w:eastAsiaTheme="minorHAnsi" w:hAnsi="Futura Std Book" w:cstheme="minorBidi"/>
          <w:b/>
          <w:sz w:val="24"/>
          <w:szCs w:val="24"/>
          <w:lang w:eastAsia="en-US"/>
        </w:rPr>
        <w:t>Bene i libri anche se in Italia si legge poco</w:t>
      </w:r>
      <w:r w:rsidR="00247D03">
        <w:rPr>
          <w:rFonts w:ascii="Futura Std Book" w:eastAsiaTheme="minorHAnsi" w:hAnsi="Futura Std Book" w:cstheme="minorBidi"/>
          <w:b/>
          <w:sz w:val="24"/>
          <w:szCs w:val="24"/>
          <w:lang w:eastAsia="en-US"/>
        </w:rPr>
        <w:t>.</w:t>
      </w:r>
      <w:r w:rsidRPr="00ED6E1A">
        <w:rPr>
          <w:rFonts w:ascii="Futura Std Book" w:eastAsiaTheme="minorHAnsi" w:hAnsi="Futura Std Book" w:cstheme="minorBidi"/>
          <w:b/>
          <w:sz w:val="24"/>
          <w:szCs w:val="24"/>
          <w:lang w:eastAsia="en-US"/>
        </w:rPr>
        <w:t xml:space="preserve"> </w:t>
      </w:r>
      <w:r w:rsidR="00247D03">
        <w:rPr>
          <w:rFonts w:ascii="Futura Std Book" w:eastAsiaTheme="minorHAnsi" w:hAnsi="Futura Std Book" w:cstheme="minorBidi"/>
          <w:b/>
          <w:color w:val="000000" w:themeColor="text1"/>
          <w:sz w:val="24"/>
          <w:szCs w:val="24"/>
          <w:lang w:eastAsia="en-US"/>
        </w:rPr>
        <w:t>I</w:t>
      </w:r>
      <w:r w:rsidRPr="00ED6E1A">
        <w:rPr>
          <w:rFonts w:ascii="Futura Std Book" w:eastAsiaTheme="minorHAnsi" w:hAnsi="Futura Std Book" w:cstheme="minorBidi"/>
          <w:b/>
          <w:color w:val="000000" w:themeColor="text1"/>
          <w:sz w:val="24"/>
          <w:szCs w:val="24"/>
          <w:lang w:eastAsia="en-US"/>
        </w:rPr>
        <w:t xml:space="preserve">n un evento di </w:t>
      </w:r>
      <w:proofErr w:type="spellStart"/>
      <w:r w:rsidRPr="00ED6E1A">
        <w:rPr>
          <w:rFonts w:ascii="Futura Std Book" w:eastAsiaTheme="minorHAnsi" w:hAnsi="Futura Std Book" w:cstheme="minorBidi"/>
          <w:b/>
          <w:color w:val="000000" w:themeColor="text1"/>
          <w:sz w:val="24"/>
          <w:szCs w:val="24"/>
          <w:lang w:eastAsia="en-US"/>
        </w:rPr>
        <w:t>BookCity</w:t>
      </w:r>
      <w:proofErr w:type="spellEnd"/>
      <w:r w:rsidRPr="00ED6E1A">
        <w:rPr>
          <w:rFonts w:ascii="Futura Std Book" w:eastAsiaTheme="minorHAnsi" w:hAnsi="Futura Std Book" w:cstheme="minorBidi"/>
          <w:b/>
          <w:color w:val="000000" w:themeColor="text1"/>
          <w:sz w:val="24"/>
          <w:szCs w:val="24"/>
          <w:lang w:eastAsia="en-US"/>
        </w:rPr>
        <w:t xml:space="preserve"> il Tavolo della Filiera carta, editoria, stampa e trasformazione presenta i dati del comparto</w:t>
      </w:r>
    </w:p>
    <w:p w14:paraId="40A8D67D" w14:textId="77777777" w:rsidR="00ED6E1A" w:rsidRPr="00ED6E1A" w:rsidRDefault="00ED6E1A" w:rsidP="00ED6E1A">
      <w:pPr>
        <w:tabs>
          <w:tab w:val="left" w:pos="7950"/>
        </w:tabs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ab/>
      </w:r>
    </w:p>
    <w:bookmarkEnd w:id="0"/>
    <w:p w14:paraId="28396229" w14:textId="77777777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Milano, 15 novembre 2019 - Crescono macchine grafiche, libri e comparto imballaggio, in difficoltà gli altri settori. Dopo la crescita messa a segno nel 2018, l’aggregato industriale che riunisce Federazione Carta Grafica (</w:t>
      </w:r>
      <w:proofErr w:type="spellStart"/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Acimga</w:t>
      </w:r>
      <w:proofErr w:type="spellEnd"/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 xml:space="preserve">, Assocarta, Assografici), Aie (editoria libraria), Fieg (editoria quotidiana e periodica) e Asig (stampa di giornali quotidiani) in questi mesi sta soffrendo il calo delle variabili macroeconomiche sia interne sia della componente estera ed è in arretramento, con un risultato che nel primo semestre 2019 ha riportato l’indice giù dell’1,6%, due punti decimali in meno rispetto all’anno precedente. Il dato viene presentato oggi nell’ambito dell’incontro “L’insostituibile autorevolezza del leggere” che mette a confronto, al Castello Sforzesco, editori, stampatori e protagonisti della filiera per valutare, a partire dai libri, quali prodotti e quali scelte possono aiutare il settore a invertire la tendenza di una crisi che ormai affonda le radici nel lontano 2004 e che, negli ultimi tre anni, registra un recupero dovuto anche al successo del bonus cultura per i 18enni, 430mila fruitori lo scorso anno con l’80% della spesa destinata ai libri (che sarà reiterato nel 2020 e di cui il settore auspica diventi misura stabile). </w:t>
      </w:r>
    </w:p>
    <w:p w14:paraId="3C779630" w14:textId="77777777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</w:p>
    <w:p w14:paraId="52C97A5D" w14:textId="4E467D5E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 xml:space="preserve">I dati economici elaborati e diffusi </w:t>
      </w:r>
      <w:r w:rsidRPr="00ED6E1A">
        <w:rPr>
          <w:rFonts w:ascii="Futura Std Book" w:eastAsiaTheme="minorHAnsi" w:hAnsi="Futura Std Book" w:cstheme="minorBidi"/>
          <w:bCs/>
          <w:color w:val="000000" w:themeColor="text1"/>
          <w:sz w:val="24"/>
          <w:szCs w:val="24"/>
          <w:lang w:eastAsia="en-US"/>
        </w:rPr>
        <w:t>dalle</w:t>
      </w:r>
      <w:r w:rsidRPr="00ED6E1A">
        <w:rPr>
          <w:rFonts w:ascii="Futura Std Book" w:eastAsiaTheme="minorHAnsi" w:hAnsi="Futura Std Book" w:cstheme="minorBidi"/>
          <w:color w:val="000000" w:themeColor="text1"/>
          <w:sz w:val="24"/>
          <w:szCs w:val="24"/>
          <w:lang w:eastAsia="en-US"/>
        </w:rPr>
        <w:t xml:space="preserve"> </w:t>
      </w: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Associazioni di Filiera, indicano i comparti delle macchine da stampa, dei libri e dell’industria cartotecnica trasformatrice come quelli che presentano tassi di crescita interessanti, segnalandosi come zone di luce negli andamenti dell’aggregato industriale che riunisce Federazione Carta e Grafica (</w:t>
      </w:r>
      <w:proofErr w:type="spellStart"/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Acimga</w:t>
      </w:r>
      <w:proofErr w:type="spellEnd"/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, Assocarta, Assografici), Aie (editoria libraria), Fieg (editoria quotidiana e periodica) e Asig (stampa di giornali quotidiani). Questo segmento industriale è vitale per l’economia del Paese: lo scorso anno, con fatturato aggregato di 31,4 miliardi di euro, ha pesato per l</w:t>
      </w:r>
      <w:r w:rsidR="00247D03">
        <w:rPr>
          <w:rFonts w:ascii="Futura Std Book" w:eastAsiaTheme="minorHAnsi" w:hAnsi="Futura Std Book" w:cstheme="minorBidi"/>
          <w:sz w:val="24"/>
          <w:szCs w:val="24"/>
          <w:lang w:eastAsia="en-US"/>
        </w:rPr>
        <w:t xml:space="preserve">’1,8% sulla formazione del Pil, </w:t>
      </w: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poco meno di un terzo dell’industria automobilistica (106 miliardi di euro). L’export, tradizionale elemento trainante della Filiera, oggi incide per il 31,8% sul fatturato complessivo, con saldo della bilancia commerciale positivo di 3,5 miliardi di euro. In termini occupazionali la Filiera lo scorso anno ha sfiorato i 200mila addetti diretti (sono 199.700, che con l’indotto diventano 695.000), pari al 5% dell’occupazione manifatturiera totale.</w:t>
      </w:r>
    </w:p>
    <w:p w14:paraId="16683434" w14:textId="77777777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</w:p>
    <w:p w14:paraId="36A77061" w14:textId="77777777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La lettura per comparti del primo semestre 2019 mostra risultati di fatturato positivi per la produzione di macchine per la grafica e la cartotecnica (+3,1%), il comparto imballaggio (+2,8%) e l’editoria libraria (+2,7%). Segni meno per tutte le altre componenti della filiera, a partire dall’industria grafica (-3,2%) e via a scendere con la produzione di carta e cartone (-4,3%), l’editoria quotidiana (-7,5%), le importazioni di macchine grafiche e da stampa (-8,6%) e infine l’editoria periodica (-11,9%).</w:t>
      </w:r>
    </w:p>
    <w:p w14:paraId="508F09A3" w14:textId="77777777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</w:p>
    <w:p w14:paraId="1A71883C" w14:textId="2E557834" w:rsidR="00ED6E1A" w:rsidRPr="00ED6E1A" w:rsidRDefault="00ED6E1A" w:rsidP="00ED6E1A">
      <w:pPr>
        <w:spacing w:after="0" w:line="240" w:lineRule="auto"/>
        <w:jc w:val="both"/>
        <w:rPr>
          <w:rFonts w:ascii="Futura Std Book" w:eastAsiaTheme="minorHAnsi" w:hAnsi="Futura Std Book" w:cstheme="minorBidi"/>
          <w:sz w:val="24"/>
          <w:szCs w:val="24"/>
          <w:lang w:eastAsia="en-US"/>
        </w:rPr>
      </w:pP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>L’analisi delle macro</w:t>
      </w:r>
      <w:r w:rsidR="0043164A">
        <w:rPr>
          <w:rFonts w:ascii="Futura Std Book" w:eastAsiaTheme="minorHAnsi" w:hAnsi="Futura Std Book" w:cstheme="minorBidi"/>
          <w:sz w:val="24"/>
          <w:szCs w:val="24"/>
          <w:lang w:eastAsia="en-US"/>
        </w:rPr>
        <w:t xml:space="preserve"> </w:t>
      </w: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t xml:space="preserve">variabili vede l’export, in buono sviluppo nel 2018 (+4,2% sul 2017) stabilendosi sul livello record di quasi 10 miliardi di euro, a fare da elemento trainante della Filiera e dei settori che la compongono. Resta comunque prevalente il peso della componente nazionale sul mercato totale della Filiera (68-69% negli ultimi 5 anni; oltre 78% nel 2007) con gli ovvi riflessi degli andamenti dei consumi interni sui livelli di fatturato. Sulle complessive difficoltà dei prodotti in carta e della stampa, pesano la diminuita propensione </w:t>
      </w:r>
      <w:r w:rsidRPr="00ED6E1A">
        <w:rPr>
          <w:rFonts w:ascii="Futura Std Book" w:eastAsiaTheme="minorHAnsi" w:hAnsi="Futura Std Book" w:cstheme="minorBidi"/>
          <w:sz w:val="24"/>
          <w:szCs w:val="24"/>
          <w:lang w:eastAsia="en-US"/>
        </w:rPr>
        <w:lastRenderedPageBreak/>
        <w:t>alla spesa delle famiglie (2 punti in meno fra il 2017 e il 2018 e il continuo calo della pubblicità su stampa, che oggi vale meno di un sesto del mercato pubblicitario (un terzo nel 2007). Ancora, a incidere negativamente, fa rilevare l’Ufficio Studi della Federazione Carta Grafica, è il continuo calo del numero dei lettori e la conseguente riduzione dei consumi interni di prodotti culturali. Nel 2018 la popolazione che legge libri rappresenta il 40,6% (46,8% nel 2010), per quotidiani e periodici siamo oggi rispettivamente al 30% e al 37,1% (36,6% e 50,5% nel 2014).</w:t>
      </w:r>
    </w:p>
    <w:p w14:paraId="10842D5B" w14:textId="77777777" w:rsidR="00ED6E1A" w:rsidRPr="00ED6E1A" w:rsidRDefault="00ED6E1A" w:rsidP="00ED6E1A">
      <w:pPr>
        <w:spacing w:after="0" w:line="240" w:lineRule="auto"/>
        <w:jc w:val="both"/>
        <w:rPr>
          <w:rFonts w:eastAsiaTheme="minorHAnsi" w:cstheme="minorBidi"/>
          <w:sz w:val="28"/>
          <w:szCs w:val="21"/>
          <w:lang w:eastAsia="en-US"/>
        </w:rPr>
      </w:pPr>
    </w:p>
    <w:p w14:paraId="39CCC171" w14:textId="77777777" w:rsidR="00ED6E1A" w:rsidRPr="00ED6E1A" w:rsidRDefault="00ED6E1A" w:rsidP="00ED6E1A">
      <w:pPr>
        <w:spacing w:after="0" w:line="240" w:lineRule="auto"/>
        <w:jc w:val="both"/>
        <w:rPr>
          <w:rFonts w:eastAsiaTheme="minorHAnsi" w:cstheme="minorBidi"/>
          <w:sz w:val="28"/>
          <w:szCs w:val="21"/>
          <w:lang w:eastAsia="en-US"/>
        </w:rPr>
      </w:pPr>
    </w:p>
    <w:p w14:paraId="7F25ED87" w14:textId="77777777" w:rsidR="00ED6E1A" w:rsidRPr="00ED6E1A" w:rsidRDefault="00ED6E1A" w:rsidP="00ED6E1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00000015" w14:textId="77777777" w:rsidR="00EE3EFD" w:rsidRPr="008344F4" w:rsidRDefault="00EE3EFD" w:rsidP="007C21D1">
      <w:pPr>
        <w:ind w:right="567"/>
        <w:jc w:val="both"/>
        <w:rPr>
          <w:rFonts w:ascii="Poppins" w:eastAsia="Poppins" w:hAnsi="Poppins" w:cs="Poppins"/>
          <w:b/>
          <w:color w:val="000000" w:themeColor="text1"/>
          <w:sz w:val="24"/>
          <w:szCs w:val="24"/>
        </w:rPr>
      </w:pPr>
    </w:p>
    <w:p w14:paraId="0AE597B7" w14:textId="77777777" w:rsidR="008344F4" w:rsidRPr="008344F4" w:rsidRDefault="008344F4" w:rsidP="007C21D1">
      <w:pPr>
        <w:pStyle w:val="Paragrafoelenco"/>
        <w:ind w:left="0" w:right="567"/>
        <w:jc w:val="both"/>
        <w:rPr>
          <w:rFonts w:ascii="Futura Std Book" w:hAnsi="Futura Std Book"/>
          <w:i/>
          <w:color w:val="000000" w:themeColor="text1"/>
          <w:sz w:val="22"/>
          <w:szCs w:val="22"/>
        </w:rPr>
      </w:pPr>
      <w:r w:rsidRPr="008344F4">
        <w:rPr>
          <w:rFonts w:ascii="Futura Std Book" w:hAnsi="Futura Std Book"/>
          <w:i/>
          <w:color w:val="000000" w:themeColor="text1"/>
          <w:sz w:val="22"/>
          <w:szCs w:val="22"/>
        </w:rPr>
        <w:t xml:space="preserve">Per informazioni: </w:t>
      </w:r>
    </w:p>
    <w:p w14:paraId="60B876BC" w14:textId="24FA0A78" w:rsidR="008344F4" w:rsidRPr="008344F4" w:rsidRDefault="008344F4" w:rsidP="007C21D1">
      <w:pPr>
        <w:pStyle w:val="Paragrafoelenco"/>
        <w:ind w:left="0" w:right="567"/>
        <w:jc w:val="both"/>
        <w:rPr>
          <w:rFonts w:ascii="Futura Std Book" w:hAnsi="Futura Std Book"/>
          <w:i/>
          <w:color w:val="000000" w:themeColor="text1"/>
          <w:sz w:val="22"/>
          <w:szCs w:val="22"/>
        </w:rPr>
      </w:pPr>
      <w:r w:rsidRPr="008344F4">
        <w:rPr>
          <w:rFonts w:ascii="Futura Std Book" w:hAnsi="Futura Std Book"/>
          <w:i/>
          <w:color w:val="000000" w:themeColor="text1"/>
          <w:sz w:val="22"/>
          <w:szCs w:val="22"/>
        </w:rPr>
        <w:t xml:space="preserve">Ufficio Stampa Federazione Carta e Grafica </w:t>
      </w:r>
    </w:p>
    <w:p w14:paraId="59C2645B" w14:textId="77777777" w:rsidR="008344F4" w:rsidRPr="007C21D1" w:rsidRDefault="008344F4" w:rsidP="007C21D1">
      <w:pPr>
        <w:pStyle w:val="Paragrafoelenco"/>
        <w:ind w:left="0" w:right="567"/>
        <w:jc w:val="both"/>
        <w:rPr>
          <w:rFonts w:ascii="Futura Std Book" w:hAnsi="Futura Std Book"/>
          <w:i/>
          <w:color w:val="000000" w:themeColor="text1"/>
          <w:sz w:val="22"/>
          <w:szCs w:val="22"/>
        </w:rPr>
      </w:pPr>
      <w:r w:rsidRPr="008344F4">
        <w:rPr>
          <w:rFonts w:ascii="Futura Std Book" w:hAnsi="Futura Std Book"/>
          <w:i/>
          <w:color w:val="000000" w:themeColor="text1"/>
          <w:sz w:val="22"/>
          <w:szCs w:val="22"/>
        </w:rPr>
        <w:t xml:space="preserve">Maria Moroni </w:t>
      </w:r>
      <w:r w:rsidRPr="007C21D1">
        <w:rPr>
          <w:rFonts w:ascii="Futura Std Book" w:hAnsi="Futura Std Book"/>
          <w:i/>
          <w:color w:val="000000" w:themeColor="text1"/>
          <w:sz w:val="22"/>
          <w:szCs w:val="22"/>
        </w:rPr>
        <w:t xml:space="preserve">maria.moroni@assocarta.it </w:t>
      </w:r>
    </w:p>
    <w:p w14:paraId="21AF95C1" w14:textId="1190E91A" w:rsidR="008344F4" w:rsidRPr="008344F4" w:rsidRDefault="008344F4" w:rsidP="007C21D1">
      <w:pPr>
        <w:pStyle w:val="Paragrafoelenco"/>
        <w:ind w:left="0" w:right="567"/>
        <w:jc w:val="both"/>
        <w:rPr>
          <w:rFonts w:ascii="Futura Std Book" w:hAnsi="Futura Std Book"/>
          <w:i/>
          <w:color w:val="000000" w:themeColor="text1"/>
          <w:sz w:val="22"/>
          <w:szCs w:val="22"/>
        </w:rPr>
      </w:pPr>
      <w:r w:rsidRPr="008344F4">
        <w:rPr>
          <w:rFonts w:ascii="Futura Std Book" w:hAnsi="Futura Std Book"/>
          <w:i/>
          <w:color w:val="000000" w:themeColor="text1"/>
          <w:sz w:val="22"/>
          <w:szCs w:val="22"/>
          <w:lang w:val="en-GB"/>
        </w:rPr>
        <w:t>02 29003018 - 340 3219859</w:t>
      </w:r>
    </w:p>
    <w:p w14:paraId="00000016" w14:textId="77777777" w:rsidR="00EE3EFD" w:rsidRDefault="00EE3EFD" w:rsidP="007C21D1">
      <w:pPr>
        <w:ind w:right="567"/>
        <w:jc w:val="both"/>
        <w:rPr>
          <w:rFonts w:ascii="Poppins" w:eastAsia="Poppins" w:hAnsi="Poppins" w:cs="Poppins"/>
          <w:sz w:val="24"/>
          <w:szCs w:val="24"/>
        </w:rPr>
      </w:pPr>
    </w:p>
    <w:p w14:paraId="00000017" w14:textId="77777777" w:rsidR="00EE3EFD" w:rsidRDefault="00EE3EFD" w:rsidP="007C21D1">
      <w:pPr>
        <w:ind w:right="567"/>
        <w:jc w:val="both"/>
        <w:rPr>
          <w:rFonts w:ascii="Poppins" w:eastAsia="Poppins" w:hAnsi="Poppins" w:cs="Poppins"/>
          <w:sz w:val="24"/>
          <w:szCs w:val="24"/>
        </w:rPr>
      </w:pPr>
    </w:p>
    <w:p w14:paraId="00000018" w14:textId="77777777" w:rsidR="00EE3EFD" w:rsidRDefault="00EE3EFD" w:rsidP="007C21D1">
      <w:pPr>
        <w:ind w:right="567"/>
      </w:pPr>
    </w:p>
    <w:p w14:paraId="00000019" w14:textId="77777777" w:rsidR="00EE3EFD" w:rsidRDefault="00EE3EFD" w:rsidP="007C21D1">
      <w:pPr>
        <w:ind w:right="567"/>
        <w:rPr>
          <w:b/>
        </w:rPr>
      </w:pPr>
    </w:p>
    <w:p w14:paraId="0000001A" w14:textId="77777777" w:rsidR="00EE3EFD" w:rsidRDefault="00EE3EFD"/>
    <w:p w14:paraId="0000001B" w14:textId="77777777" w:rsidR="00EE3EFD" w:rsidRDefault="00EE3EFD">
      <w:pPr>
        <w:jc w:val="both"/>
        <w:rPr>
          <w:rFonts w:ascii="Poppins" w:eastAsia="Poppins" w:hAnsi="Poppins" w:cs="Poppins"/>
          <w:sz w:val="28"/>
          <w:szCs w:val="28"/>
        </w:rPr>
      </w:pPr>
    </w:p>
    <w:sectPr w:rsidR="00EE3EFD" w:rsidSect="007C21D1">
      <w:headerReference w:type="default" r:id="rId6"/>
      <w:pgSz w:w="11906" w:h="16838"/>
      <w:pgMar w:top="2552" w:right="282" w:bottom="1134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9735B" w14:textId="77777777" w:rsidR="00D34203" w:rsidRDefault="00D34203" w:rsidP="00DE58B0">
      <w:pPr>
        <w:spacing w:after="0" w:line="240" w:lineRule="auto"/>
      </w:pPr>
      <w:r>
        <w:separator/>
      </w:r>
    </w:p>
  </w:endnote>
  <w:endnote w:type="continuationSeparator" w:id="0">
    <w:p w14:paraId="5D87C6AD" w14:textId="77777777" w:rsidR="00D34203" w:rsidRDefault="00D34203" w:rsidP="00DE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Poppi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E202D" w14:textId="77777777" w:rsidR="00D34203" w:rsidRDefault="00D34203" w:rsidP="00DE58B0">
      <w:pPr>
        <w:spacing w:after="0" w:line="240" w:lineRule="auto"/>
      </w:pPr>
      <w:r>
        <w:separator/>
      </w:r>
    </w:p>
  </w:footnote>
  <w:footnote w:type="continuationSeparator" w:id="0">
    <w:p w14:paraId="6B21F051" w14:textId="77777777" w:rsidR="00D34203" w:rsidRDefault="00D34203" w:rsidP="00DE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2435C" w14:textId="4D1319FE" w:rsidR="00DE58B0" w:rsidRDefault="00DE58B0" w:rsidP="007C21D1">
    <w:pPr>
      <w:pStyle w:val="Intestazione"/>
      <w:tabs>
        <w:tab w:val="clear" w:pos="9638"/>
        <w:tab w:val="right" w:pos="10490"/>
      </w:tabs>
      <w:ind w:left="-993"/>
    </w:pPr>
    <w:r>
      <w:rPr>
        <w:noProof/>
      </w:rPr>
      <w:t xml:space="preserve">                </w:t>
    </w:r>
    <w:r w:rsidR="00294B2C">
      <w:rPr>
        <w:noProof/>
      </w:rPr>
      <w:drawing>
        <wp:inline distT="0" distB="0" distL="0" distR="0" wp14:anchorId="4C384867" wp14:editId="419DE54A">
          <wp:extent cx="2858321" cy="642043"/>
          <wp:effectExtent l="0" t="0" r="0" b="5715"/>
          <wp:docPr id="14" name="Immagine 14" descr="S:\01_Documenti Assocarta\2018\Brand Identity Federazione Carta Grafica_2018\LOGHI FEDERAZIONE\file JPEG\logo_FEDERAZIONE_SOCI_blue280_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01_Documenti Assocarta\2018\Brand Identity Federazione Carta Grafica_2018\LOGHI FEDERAZIONE\file JPEG\logo_FEDERAZIONE_SOCI_blue280_or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039" cy="64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4B2C">
      <w:rPr>
        <w:noProof/>
      </w:rPr>
      <w:t xml:space="preserve"> </w:t>
    </w:r>
    <w:r w:rsidR="00294B2C">
      <w:rPr>
        <w:noProof/>
      </w:rPr>
      <w:drawing>
        <wp:inline distT="0" distB="0" distL="0" distR="0" wp14:anchorId="412A06DC" wp14:editId="0455F7E6">
          <wp:extent cx="1552537" cy="676275"/>
          <wp:effectExtent l="0" t="0" r="0" b="0"/>
          <wp:docPr id="15" name="Immagine 15" descr="C:\Users\mmo\Desktop\AIE 150 anni_logo_senza claim_POSITIVO 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mo\Desktop\AIE 150 anni_logo_senza claim_POSITIVO 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37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4B2C">
      <w:rPr>
        <w:noProof/>
      </w:rPr>
      <w:t xml:space="preserve">     </w:t>
    </w:r>
    <w:r w:rsidR="00294B2C">
      <w:rPr>
        <w:noProof/>
      </w:rPr>
      <w:drawing>
        <wp:inline distT="0" distB="0" distL="0" distR="0" wp14:anchorId="7B372CF7" wp14:editId="0EC4F7EB">
          <wp:extent cx="847725" cy="516329"/>
          <wp:effectExtent l="0" t="0" r="0" b="0"/>
          <wp:docPr id="17" name="Picture 5" descr="&#10;logo_asig.tif                                                  000B9E58WILDE                          BDDDD67D: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5" descr="&#10;logo_asig.tif                                                  000B9E58WILDE                          BDDDD67D: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395" cy="5185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4B2C">
      <w:rPr>
        <w:noProof/>
      </w:rPr>
      <w:t xml:space="preserve">         </w:t>
    </w:r>
    <w:r w:rsidR="00294B2C">
      <w:rPr>
        <w:noProof/>
      </w:rPr>
      <w:drawing>
        <wp:inline distT="0" distB="0" distL="0" distR="0" wp14:anchorId="2C913471" wp14:editId="59958C83">
          <wp:extent cx="1013704" cy="799255"/>
          <wp:effectExtent l="0" t="0" r="0" b="1270"/>
          <wp:docPr id="19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5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704" cy="79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</w:t>
    </w:r>
    <w:r>
      <w:rPr>
        <w:noProof/>
      </w:rPr>
      <w:drawing>
        <wp:inline distT="0" distB="0" distL="0" distR="0" wp14:anchorId="27E1CE53" wp14:editId="58261B56">
          <wp:extent cx="6120130" cy="5215912"/>
          <wp:effectExtent l="0" t="0" r="0" b="3810"/>
          <wp:docPr id="20" name="Immagine 20" descr="C:\Users\mmo\Desktop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mo\Desktop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C7CCE4" wp14:editId="5792D6D4">
          <wp:extent cx="6120130" cy="5215912"/>
          <wp:effectExtent l="0" t="0" r="0" b="3810"/>
          <wp:docPr id="21" name="Immagine 21" descr="C:\Users\mmo\Desktop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mo\Desktop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B8164D" wp14:editId="11EF7477">
          <wp:extent cx="6120130" cy="5215912"/>
          <wp:effectExtent l="0" t="0" r="0" b="3810"/>
          <wp:docPr id="22" name="Immagine 22" descr="C:\Users\mmo\Desktop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mo\Desktop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F38D09" wp14:editId="6079DECE">
          <wp:extent cx="6120130" cy="5215912"/>
          <wp:effectExtent l="0" t="0" r="0" b="3810"/>
          <wp:docPr id="23" name="Immagine 23" descr="C:\Users\mmo\Desktop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mo\Desktop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D5FF01" wp14:editId="3D985AAA">
          <wp:extent cx="6120130" cy="5215912"/>
          <wp:effectExtent l="0" t="0" r="0" b="3810"/>
          <wp:docPr id="24" name="Immagine 24" descr="S:\01_Documenti Assocarta\2018\Brand Identity Federazione Carta Grafica_2018\LOGHI FEDERAZIONE\file JPEG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01_Documenti Assocarta\2018\Brand Identity Federazione Carta Grafica_2018\LOGHI FEDERAZIONE\file JPEG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6C16859E" wp14:editId="200C027E">
          <wp:extent cx="6120130" cy="5215912"/>
          <wp:effectExtent l="0" t="0" r="0" b="3810"/>
          <wp:docPr id="25" name="Immagine 25" descr="S:\01_Documenti Assocarta\2018\Brand Identity Federazione Carta Grafica_2018\LOGHI FEDERAZIONE\file JPEG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01_Documenti Assocarta\2018\Brand Identity Federazione Carta Grafica_2018\LOGHI FEDERAZIONE\file JPEG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1A28EE90" wp14:editId="1AF590B7">
          <wp:extent cx="6120130" cy="5215912"/>
          <wp:effectExtent l="0" t="0" r="0" b="3810"/>
          <wp:docPr id="26" name="Immagine 26" descr="S:\01_Documenti Assocarta\2018\Brand Identity Federazione Carta Grafica_2018\LOGHI FEDERAZIONE\file JPEG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01_Documenti Assocarta\2018\Brand Identity Federazione Carta Grafica_2018\LOGHI FEDERAZIONE\file JPEG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621543" wp14:editId="351DA890">
          <wp:extent cx="6120130" cy="5215912"/>
          <wp:effectExtent l="0" t="0" r="0" b="3810"/>
          <wp:docPr id="27" name="Immagine 27" descr="S:\01_Documenti Assocarta\2018\Brand Identity Federazione Carta Grafica_2018\LOGHI FEDERAZIONE\file JPEG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:\01_Documenti Assocarta\2018\Brand Identity Federazione Carta Grafica_2018\LOGHI FEDERAZIONE\file JPEG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E439B9" wp14:editId="25E1854A">
          <wp:extent cx="6120130" cy="5215912"/>
          <wp:effectExtent l="0" t="0" r="0" b="3810"/>
          <wp:docPr id="28" name="Immagine 28" descr="S:\01_Documenti Assocarta\2018\Brand Identity Federazione Carta Grafica_2018\LOGHI FEDERAZIONE\file JPEG\logo_FEDERAZIONE_SOCI_blue280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01_Documenti Assocarta\2018\Brand Identity Federazione Carta Grafica_2018\LOGHI FEDERAZIONE\file JPEG\logo_FEDERAZIONE_SOCI_blue280_ver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21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>
      <w:rPr>
        <w:noProof/>
      </w:rPr>
      <w:drawing>
        <wp:inline distT="0" distB="0" distL="0" distR="0" wp14:anchorId="2A86AC92" wp14:editId="76297FD6">
          <wp:extent cx="1485863" cy="647232"/>
          <wp:effectExtent l="0" t="0" r="635" b="635"/>
          <wp:docPr id="29" name="Immagine 29" descr="C:\Users\mmo\Desktop\AIE 150 anni_logo_senza claim_POSITIVO 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mo\Desktop\AIE 150 anni_logo_senza claim_POSITIVO 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014" cy="651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3EFD"/>
    <w:rsid w:val="000771D7"/>
    <w:rsid w:val="00085977"/>
    <w:rsid w:val="001B5710"/>
    <w:rsid w:val="00247D03"/>
    <w:rsid w:val="00294B2C"/>
    <w:rsid w:val="00304A68"/>
    <w:rsid w:val="003C436A"/>
    <w:rsid w:val="0043164A"/>
    <w:rsid w:val="005A31CC"/>
    <w:rsid w:val="006E1868"/>
    <w:rsid w:val="00732574"/>
    <w:rsid w:val="007C21D1"/>
    <w:rsid w:val="008344F4"/>
    <w:rsid w:val="00992150"/>
    <w:rsid w:val="009D4A70"/>
    <w:rsid w:val="00A25AB3"/>
    <w:rsid w:val="00AC5628"/>
    <w:rsid w:val="00AE3DA6"/>
    <w:rsid w:val="00BA7944"/>
    <w:rsid w:val="00BC33FB"/>
    <w:rsid w:val="00C10205"/>
    <w:rsid w:val="00C1685E"/>
    <w:rsid w:val="00D34203"/>
    <w:rsid w:val="00D85E25"/>
    <w:rsid w:val="00DE58B0"/>
    <w:rsid w:val="00ED6E1A"/>
    <w:rsid w:val="00EE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1368A83-BCA9-4404-A6FD-A32CF548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F61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F61542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F6154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E3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ssuno">
    <w:name w:val="Nessuno"/>
    <w:basedOn w:val="Carpredefinitoparagrafo"/>
    <w:rsid w:val="001B5710"/>
  </w:style>
  <w:style w:type="paragraph" w:styleId="Paragrafoelenco">
    <w:name w:val="List Paragraph"/>
    <w:basedOn w:val="Normale"/>
    <w:uiPriority w:val="34"/>
    <w:qFormat/>
    <w:rsid w:val="008344F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DE58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58B0"/>
  </w:style>
  <w:style w:type="paragraph" w:styleId="Pidipagina">
    <w:name w:val="footer"/>
    <w:basedOn w:val="Normale"/>
    <w:link w:val="PidipaginaCarattere"/>
    <w:uiPriority w:val="99"/>
    <w:unhideWhenUsed/>
    <w:rsid w:val="00DE58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8B0"/>
  </w:style>
  <w:style w:type="paragraph" w:customStyle="1" w:styleId="mcntmsolistparagraph2">
    <w:name w:val="mcntmsolistparagraph2"/>
    <w:basedOn w:val="Normale"/>
    <w:uiPriority w:val="34"/>
    <w:rsid w:val="00304A68"/>
    <w:pPr>
      <w:spacing w:after="0" w:line="240" w:lineRule="auto"/>
      <w:ind w:left="720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644</Words>
  <Characters>3675</Characters>
  <Application>Microsoft Office Word</Application>
  <DocSecurity>4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Moroni</dc:creator>
  <cp:lastModifiedBy>Diana Daneluz</cp:lastModifiedBy>
  <cp:revision>2</cp:revision>
  <dcterms:created xsi:type="dcterms:W3CDTF">2019-11-18T10:59:00Z</dcterms:created>
  <dcterms:modified xsi:type="dcterms:W3CDTF">2019-11-18T10:59:00Z</dcterms:modified>
</cp:coreProperties>
</file>